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193"/>
      </w:tblGrid>
      <w:tr w:rsidR="008513C9" w:rsidRPr="005376B9" w14:paraId="06E8B90A" w14:textId="1C59B468" w:rsidTr="004E344B">
        <w:tc>
          <w:tcPr>
            <w:tcW w:w="9305" w:type="dxa"/>
            <w:gridSpan w:val="2"/>
          </w:tcPr>
          <w:p w14:paraId="386ACD54" w14:textId="0EEF46D4" w:rsidR="008513C9" w:rsidRPr="005376B9" w:rsidRDefault="008513C9" w:rsidP="00C17F85">
            <w:r w:rsidRPr="005376B9">
              <w:rPr>
                <w:b/>
                <w:bCs/>
              </w:rPr>
              <w:t xml:space="preserve">Service Specification </w:t>
            </w:r>
            <w:r>
              <w:rPr>
                <w:b/>
                <w:bCs/>
              </w:rPr>
              <w:t>Checklist</w:t>
            </w:r>
          </w:p>
        </w:tc>
      </w:tr>
      <w:tr w:rsidR="005376B9" w:rsidRPr="005376B9" w14:paraId="4EBAF01C" w14:textId="7453D74B" w:rsidTr="008513C9">
        <w:tc>
          <w:tcPr>
            <w:tcW w:w="4112" w:type="dxa"/>
            <w:tcBorders>
              <w:right w:val="nil"/>
            </w:tcBorders>
            <w:shd w:val="clear" w:color="auto" w:fill="92D050"/>
          </w:tcPr>
          <w:p w14:paraId="290F65A3" w14:textId="77777777" w:rsidR="005376B9" w:rsidRPr="005376B9" w:rsidRDefault="005376B9" w:rsidP="00C17F85">
            <w:pPr>
              <w:rPr>
                <w:b/>
                <w:bCs/>
              </w:rPr>
            </w:pPr>
            <w:r w:rsidRPr="005376B9">
              <w:rPr>
                <w:b/>
                <w:bCs/>
              </w:rPr>
              <w:t>Checklist Sexual Health (Suffolk County Council)</w:t>
            </w:r>
          </w:p>
        </w:tc>
        <w:tc>
          <w:tcPr>
            <w:tcW w:w="5193" w:type="dxa"/>
            <w:tcBorders>
              <w:left w:val="nil"/>
            </w:tcBorders>
            <w:shd w:val="clear" w:color="auto" w:fill="92D050"/>
          </w:tcPr>
          <w:p w14:paraId="4F7758E6" w14:textId="5BB455D9" w:rsidR="005376B9" w:rsidRPr="005376B9" w:rsidRDefault="00BD782E" w:rsidP="00BD782E">
            <w:pPr>
              <w:tabs>
                <w:tab w:val="left" w:pos="911"/>
              </w:tabs>
            </w:pPr>
            <w:r>
              <w:tab/>
            </w:r>
          </w:p>
        </w:tc>
      </w:tr>
      <w:tr w:rsidR="005376B9" w:rsidRPr="005376B9" w14:paraId="5F0DCD74" w14:textId="309A44C0" w:rsidTr="008513C9">
        <w:tc>
          <w:tcPr>
            <w:tcW w:w="4112" w:type="dxa"/>
          </w:tcPr>
          <w:p w14:paraId="749A5077" w14:textId="6425F0CC" w:rsidR="005376B9" w:rsidRPr="005376B9" w:rsidRDefault="008513C9" w:rsidP="00C17F85">
            <w:r w:rsidRPr="005376B9">
              <w:t>Timeline</w:t>
            </w:r>
            <w:r w:rsidR="005376B9" w:rsidRPr="005376B9">
              <w:t xml:space="preserve"> &amp; Next Steps for the LPC </w:t>
            </w:r>
          </w:p>
        </w:tc>
        <w:tc>
          <w:tcPr>
            <w:tcW w:w="5193" w:type="dxa"/>
          </w:tcPr>
          <w:p w14:paraId="294C4162" w14:textId="5FB29605" w:rsidR="005376B9" w:rsidRPr="005376B9" w:rsidRDefault="005376B9" w:rsidP="00C17F85">
            <w:r w:rsidRPr="005376B9">
              <w:t>The LPC will make this service participation rating available to contractors by April 202</w:t>
            </w:r>
            <w:r w:rsidR="00696432">
              <w:t>3</w:t>
            </w:r>
          </w:p>
        </w:tc>
      </w:tr>
      <w:tr w:rsidR="005376B9" w:rsidRPr="005376B9" w14:paraId="599B6171" w14:textId="1DFDB46E" w:rsidTr="008513C9">
        <w:tc>
          <w:tcPr>
            <w:tcW w:w="4112" w:type="dxa"/>
          </w:tcPr>
          <w:p w14:paraId="2A1097C6" w14:textId="299A621A" w:rsidR="005376B9" w:rsidRPr="005376B9" w:rsidRDefault="008513C9" w:rsidP="00C17F85">
            <w:r w:rsidRPr="005376B9">
              <w:t>Commissioners’</w:t>
            </w:r>
            <w:r w:rsidR="005376B9" w:rsidRPr="005376B9">
              <w:t xml:space="preserve"> response to LPC feedback </w:t>
            </w:r>
          </w:p>
        </w:tc>
        <w:tc>
          <w:tcPr>
            <w:tcW w:w="5193" w:type="dxa"/>
          </w:tcPr>
          <w:p w14:paraId="2CBD09C7" w14:textId="77777777" w:rsidR="008513C9" w:rsidRDefault="005376B9" w:rsidP="00C17F85">
            <w:r>
              <w:t>F</w:t>
            </w:r>
            <w:r w:rsidRPr="005376B9">
              <w:t xml:space="preserve">eedback </w:t>
            </w:r>
          </w:p>
          <w:p w14:paraId="28FF9F0D" w14:textId="4D5E10F3" w:rsidR="005376B9" w:rsidRPr="005376B9" w:rsidRDefault="005376B9" w:rsidP="00C17F85">
            <w:r w:rsidRPr="005376B9">
              <w:t xml:space="preserve">Please forward any comments to </w:t>
            </w:r>
            <w:hyperlink r:id="rId4" w:history="1">
              <w:r w:rsidRPr="00797083">
                <w:rPr>
                  <w:rStyle w:val="Hyperlink"/>
                </w:rPr>
                <w:t>myra@suffolklpc.org.uk</w:t>
              </w:r>
            </w:hyperlink>
            <w:r>
              <w:t xml:space="preserve"> </w:t>
            </w:r>
          </w:p>
        </w:tc>
      </w:tr>
      <w:tr w:rsidR="008513C9" w:rsidRPr="005376B9" w14:paraId="54BD1A82" w14:textId="77777777" w:rsidTr="002F7D94">
        <w:trPr>
          <w:trHeight w:val="1621"/>
        </w:trPr>
        <w:tc>
          <w:tcPr>
            <w:tcW w:w="9305" w:type="dxa"/>
            <w:gridSpan w:val="2"/>
          </w:tcPr>
          <w:p w14:paraId="6E96AAC0" w14:textId="77777777" w:rsidR="008513C9" w:rsidRPr="008513C9" w:rsidRDefault="008513C9" w:rsidP="00C17F85">
            <w:pPr>
              <w:rPr>
                <w:b/>
                <w:bCs/>
              </w:rPr>
            </w:pPr>
            <w:r w:rsidRPr="008513C9">
              <w:rPr>
                <w:b/>
                <w:bCs/>
              </w:rPr>
              <w:t>Rationale of Checklist</w:t>
            </w:r>
          </w:p>
          <w:p w14:paraId="5E1B3495" w14:textId="4D64C838" w:rsidR="008513C9" w:rsidRPr="005376B9" w:rsidRDefault="008513C9" w:rsidP="008513C9">
            <w:r w:rsidRPr="005376B9">
              <w:t xml:space="preserve">The LPC’s purpose is to work positively with commissioners to ensure high quality outcomes from the service, which are both professional and commercially viable for contractors to </w:t>
            </w:r>
            <w:r w:rsidR="00F97F79" w:rsidRPr="005376B9">
              <w:t>deliver</w:t>
            </w:r>
            <w:r w:rsidR="00F97F79">
              <w:t>.</w:t>
            </w:r>
            <w:r w:rsidR="00F97F79" w:rsidRPr="005376B9">
              <w:t xml:space="preserve"> This</w:t>
            </w:r>
            <w:r w:rsidRPr="005376B9">
              <w:t xml:space="preserve"> rating will be shared with contractors and the service commissioner for consideration.</w:t>
            </w:r>
          </w:p>
        </w:tc>
      </w:tr>
      <w:tr w:rsidR="005376B9" w:rsidRPr="005376B9" w14:paraId="7AE524D9" w14:textId="12DF2C38" w:rsidTr="008513C9">
        <w:tc>
          <w:tcPr>
            <w:tcW w:w="4112" w:type="dxa"/>
          </w:tcPr>
          <w:p w14:paraId="15DDD947" w14:textId="304E3BC7" w:rsidR="005376B9" w:rsidRPr="002D5896" w:rsidRDefault="005376B9" w:rsidP="00C17F85">
            <w:pPr>
              <w:rPr>
                <w:b/>
                <w:bCs/>
              </w:rPr>
            </w:pPr>
            <w:r w:rsidRPr="002D5896">
              <w:rPr>
                <w:b/>
                <w:bCs/>
              </w:rPr>
              <w:t xml:space="preserve">Point Covered 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16B02355" w14:textId="66A7940E" w:rsidR="005376B9" w:rsidRPr="002D5896" w:rsidRDefault="00C95409" w:rsidP="00C17F85">
            <w:pPr>
              <w:rPr>
                <w:b/>
                <w:bCs/>
              </w:rPr>
            </w:pPr>
            <w:r w:rsidRPr="002D5896">
              <w:rPr>
                <w:b/>
                <w:bCs/>
              </w:rPr>
              <w:t>Notes/Actions</w:t>
            </w:r>
          </w:p>
        </w:tc>
      </w:tr>
      <w:tr w:rsidR="002D5896" w:rsidRPr="005376B9" w14:paraId="73A7F594" w14:textId="77777777" w:rsidTr="008513C9">
        <w:tc>
          <w:tcPr>
            <w:tcW w:w="4112" w:type="dxa"/>
            <w:tcBorders>
              <w:right w:val="nil"/>
            </w:tcBorders>
          </w:tcPr>
          <w:p w14:paraId="36D5903F" w14:textId="77777777" w:rsidR="002D5896" w:rsidRDefault="002D5896" w:rsidP="00C95409">
            <w:pPr>
              <w:tabs>
                <w:tab w:val="left" w:pos="944"/>
              </w:tabs>
              <w:rPr>
                <w:b/>
                <w:bCs/>
              </w:rPr>
            </w:pPr>
            <w:r w:rsidRPr="002D5896">
              <w:rPr>
                <w:b/>
                <w:bCs/>
              </w:rPr>
              <w:t>Service Outline</w:t>
            </w:r>
            <w:r w:rsidRPr="002D5896">
              <w:rPr>
                <w:b/>
                <w:bCs/>
              </w:rPr>
              <w:tab/>
            </w:r>
          </w:p>
          <w:p w14:paraId="289C4B6A" w14:textId="71431DA7" w:rsidR="008513C9" w:rsidRPr="002D5896" w:rsidRDefault="008513C9" w:rsidP="00C95409">
            <w:pPr>
              <w:tabs>
                <w:tab w:val="left" w:pos="944"/>
              </w:tabs>
              <w:rPr>
                <w:b/>
                <w:bCs/>
              </w:rPr>
            </w:pPr>
          </w:p>
        </w:tc>
        <w:tc>
          <w:tcPr>
            <w:tcW w:w="5193" w:type="dxa"/>
            <w:tcBorders>
              <w:left w:val="nil"/>
            </w:tcBorders>
          </w:tcPr>
          <w:p w14:paraId="0F05FC2D" w14:textId="77777777" w:rsidR="002D5896" w:rsidRDefault="002D5896" w:rsidP="002D5896"/>
        </w:tc>
      </w:tr>
      <w:tr w:rsidR="002D5896" w:rsidRPr="005376B9" w14:paraId="0327BBCA" w14:textId="77777777" w:rsidTr="008513C9">
        <w:tc>
          <w:tcPr>
            <w:tcW w:w="4112" w:type="dxa"/>
          </w:tcPr>
          <w:p w14:paraId="7E8F2D86" w14:textId="6A3A5DF7" w:rsidR="002D5896" w:rsidRPr="00C95409" w:rsidRDefault="002D5896" w:rsidP="00C95409">
            <w:pPr>
              <w:tabs>
                <w:tab w:val="left" w:pos="944"/>
              </w:tabs>
            </w:pPr>
            <w:r w:rsidRPr="002D5896">
              <w:t>Payment structure &amp; system</w:t>
            </w:r>
          </w:p>
        </w:tc>
        <w:tc>
          <w:tcPr>
            <w:tcW w:w="5193" w:type="dxa"/>
            <w:shd w:val="clear" w:color="auto" w:fill="92D050"/>
          </w:tcPr>
          <w:p w14:paraId="3A1DFCB3" w14:textId="77777777" w:rsidR="002D5896" w:rsidRDefault="002D5896" w:rsidP="002D5896">
            <w:r>
              <w:t>Supply of chlamydia screening</w:t>
            </w:r>
          </w:p>
          <w:p w14:paraId="2B743E43" w14:textId="5ECCFFA2" w:rsidR="002D5896" w:rsidRDefault="002D5896" w:rsidP="002D5896">
            <w:r>
              <w:t>kit - £</w:t>
            </w:r>
            <w:r w:rsidR="00696432">
              <w:t>4</w:t>
            </w:r>
            <w:r>
              <w:t xml:space="preserve"> per kit </w:t>
            </w:r>
          </w:p>
          <w:p w14:paraId="25856503" w14:textId="77777777" w:rsidR="002D5896" w:rsidRDefault="002D5896" w:rsidP="002D5896">
            <w:r>
              <w:t xml:space="preserve">Consultation for chlamydia treatment – </w:t>
            </w:r>
          </w:p>
          <w:p w14:paraId="0980E14F" w14:textId="59A97466" w:rsidR="002D5896" w:rsidRDefault="002D5896" w:rsidP="002D5896">
            <w:r>
              <w:t>£</w:t>
            </w:r>
            <w:r w:rsidR="00696432">
              <w:t>20</w:t>
            </w:r>
            <w:r>
              <w:t xml:space="preserve"> + drug cost (at drug tariff price +VAT) </w:t>
            </w:r>
          </w:p>
          <w:p w14:paraId="30505689" w14:textId="77777777" w:rsidR="002D5896" w:rsidRDefault="002D5896" w:rsidP="002D5896">
            <w:r>
              <w:t xml:space="preserve">Consultation for EHC – </w:t>
            </w:r>
          </w:p>
          <w:p w14:paraId="55D262DE" w14:textId="315D844C" w:rsidR="002D5896" w:rsidRPr="005376B9" w:rsidRDefault="007838BF" w:rsidP="002D5896">
            <w:r>
              <w:t>£20</w:t>
            </w:r>
            <w:r w:rsidR="002D5896">
              <w:t xml:space="preserve"> + drug cost (at drug tariff price +VAT)</w:t>
            </w:r>
          </w:p>
        </w:tc>
      </w:tr>
      <w:tr w:rsidR="00C95409" w:rsidRPr="005376B9" w14:paraId="759AFAAA" w14:textId="77777777" w:rsidTr="008513C9">
        <w:tc>
          <w:tcPr>
            <w:tcW w:w="4112" w:type="dxa"/>
          </w:tcPr>
          <w:p w14:paraId="043B6DCE" w14:textId="120852F0" w:rsidR="00C95409" w:rsidRPr="005376B9" w:rsidRDefault="002D5896" w:rsidP="00C95409">
            <w:pPr>
              <w:tabs>
                <w:tab w:val="left" w:pos="944"/>
              </w:tabs>
            </w:pPr>
            <w:r w:rsidRPr="002D5896">
              <w:t>Are reporting systems suitable to all contractors?</w:t>
            </w:r>
          </w:p>
        </w:tc>
        <w:tc>
          <w:tcPr>
            <w:tcW w:w="5193" w:type="dxa"/>
            <w:shd w:val="clear" w:color="auto" w:fill="92D050"/>
          </w:tcPr>
          <w:p w14:paraId="76F023D1" w14:textId="4593CDA7" w:rsidR="00C95409" w:rsidRPr="005376B9" w:rsidRDefault="008513C9" w:rsidP="00C17F85">
            <w:r>
              <w:t xml:space="preserve">Yes- reporting via </w:t>
            </w:r>
            <w:r w:rsidR="002D5896" w:rsidRPr="002D5896">
              <w:t>PharmOutcomes</w:t>
            </w:r>
          </w:p>
        </w:tc>
      </w:tr>
      <w:tr w:rsidR="005376B9" w:rsidRPr="005376B9" w14:paraId="40B34CF3" w14:textId="7E483630" w:rsidTr="008513C9">
        <w:tc>
          <w:tcPr>
            <w:tcW w:w="4112" w:type="dxa"/>
          </w:tcPr>
          <w:p w14:paraId="43C3918B" w14:textId="28DA449C" w:rsidR="005376B9" w:rsidRPr="005376B9" w:rsidRDefault="002D5896" w:rsidP="00C17F85">
            <w:r w:rsidRPr="002D5896">
              <w:t>Equipment required &amp; who provides/calibrates/services this?</w:t>
            </w:r>
            <w:r>
              <w:t xml:space="preserve"> </w:t>
            </w:r>
            <w:r w:rsidRPr="002D5896">
              <w:t>Does remuneration sufficiently cover the cost?</w:t>
            </w:r>
          </w:p>
        </w:tc>
        <w:tc>
          <w:tcPr>
            <w:tcW w:w="5193" w:type="dxa"/>
            <w:shd w:val="clear" w:color="auto" w:fill="92D050"/>
          </w:tcPr>
          <w:p w14:paraId="479C1803" w14:textId="65C5D3BB" w:rsidR="005376B9" w:rsidRDefault="00B3000C" w:rsidP="00C17F85">
            <w:r w:rsidRPr="00B3000C">
              <w:t xml:space="preserve">Chlamydia Screening Kits and condoms are ordered via PharmOutcomes and provided by THT. Pharmacy stock supports EHC and Chlamydia treatment and this is </w:t>
            </w:r>
            <w:r w:rsidR="008513C9" w:rsidRPr="00B3000C">
              <w:t>reimbursed.</w:t>
            </w:r>
          </w:p>
          <w:p w14:paraId="3353C620" w14:textId="52454CB2" w:rsidR="008513C9" w:rsidRPr="005376B9" w:rsidRDefault="008513C9" w:rsidP="00C17F85"/>
        </w:tc>
      </w:tr>
      <w:tr w:rsidR="00C95409" w:rsidRPr="005376B9" w14:paraId="745C576C" w14:textId="77777777" w:rsidTr="008513C9">
        <w:tc>
          <w:tcPr>
            <w:tcW w:w="4112" w:type="dxa"/>
          </w:tcPr>
          <w:p w14:paraId="682CB2B2" w14:textId="0E1AC4B8" w:rsidR="00C95409" w:rsidRPr="005376B9" w:rsidRDefault="00B3000C" w:rsidP="00C17F85">
            <w:r w:rsidRPr="00B3000C">
              <w:t>Training required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FFC000"/>
          </w:tcPr>
          <w:p w14:paraId="15D05512" w14:textId="1366A98C" w:rsidR="00C95409" w:rsidRPr="005376B9" w:rsidRDefault="00B3000C" w:rsidP="00C17F85">
            <w:r w:rsidRPr="00B3000C">
              <w:t>CPPE Sexual Health in Pharmacies module Emergency Contraception e-learning CPPE safeguarding children and vulnerable adults (level 2 assessment). Enhanced DBS check every 3 years</w:t>
            </w:r>
          </w:p>
        </w:tc>
      </w:tr>
      <w:tr w:rsidR="005376B9" w:rsidRPr="005376B9" w14:paraId="2B705664" w14:textId="2FE488AD" w:rsidTr="008513C9">
        <w:tc>
          <w:tcPr>
            <w:tcW w:w="4112" w:type="dxa"/>
            <w:tcBorders>
              <w:right w:val="nil"/>
            </w:tcBorders>
          </w:tcPr>
          <w:p w14:paraId="399BDCBF" w14:textId="7C3B727E" w:rsidR="005376B9" w:rsidRPr="00B3000C" w:rsidRDefault="00B3000C" w:rsidP="00C17F85">
            <w:pPr>
              <w:rPr>
                <w:b/>
                <w:bCs/>
              </w:rPr>
            </w:pPr>
            <w:r w:rsidRPr="00B3000C">
              <w:rPr>
                <w:b/>
                <w:bCs/>
              </w:rPr>
              <w:t>Is/does the Service</w:t>
            </w:r>
            <w:proofErr w:type="gramStart"/>
            <w:r w:rsidRPr="00B3000C">
              <w:rPr>
                <w:b/>
                <w:bCs/>
              </w:rPr>
              <w:t>.....</w:t>
            </w:r>
            <w:proofErr w:type="gramEnd"/>
          </w:p>
        </w:tc>
        <w:tc>
          <w:tcPr>
            <w:tcW w:w="5193" w:type="dxa"/>
            <w:tcBorders>
              <w:left w:val="nil"/>
            </w:tcBorders>
          </w:tcPr>
          <w:p w14:paraId="6D5C2086" w14:textId="77777777" w:rsidR="005376B9" w:rsidRPr="005376B9" w:rsidRDefault="005376B9" w:rsidP="00C17F85"/>
        </w:tc>
      </w:tr>
      <w:tr w:rsidR="005376B9" w:rsidRPr="005376B9" w14:paraId="499FF310" w14:textId="0258A00E" w:rsidTr="008513C9">
        <w:tc>
          <w:tcPr>
            <w:tcW w:w="4112" w:type="dxa"/>
          </w:tcPr>
          <w:p w14:paraId="0FAF0D5A" w14:textId="489663B5" w:rsidR="005376B9" w:rsidRPr="005376B9" w:rsidRDefault="00B3000C" w:rsidP="00C17F85">
            <w:r w:rsidRPr="00B3000C">
              <w:t>Sustainable?</w:t>
            </w:r>
          </w:p>
        </w:tc>
        <w:tc>
          <w:tcPr>
            <w:tcW w:w="5193" w:type="dxa"/>
            <w:shd w:val="clear" w:color="auto" w:fill="FFC000"/>
          </w:tcPr>
          <w:p w14:paraId="6FC7215E" w14:textId="77777777" w:rsidR="005376B9" w:rsidRDefault="00B3000C" w:rsidP="00C17F85">
            <w:r w:rsidRPr="00B3000C">
              <w:t>This will depend on the demographic of the pharmacy. These services are predominantly targeted towards the younger age groups. EHC is a more universal service offer. Chlamydia treatment is by referral only</w:t>
            </w:r>
            <w:r w:rsidR="008513C9">
              <w:t>.</w:t>
            </w:r>
          </w:p>
          <w:p w14:paraId="1D00F7CE" w14:textId="6F000B87" w:rsidR="008513C9" w:rsidRPr="005376B9" w:rsidRDefault="008513C9" w:rsidP="00C17F85"/>
        </w:tc>
      </w:tr>
      <w:tr w:rsidR="005376B9" w:rsidRPr="005376B9" w14:paraId="63AAB5FD" w14:textId="492F4E96" w:rsidTr="008513C9">
        <w:tc>
          <w:tcPr>
            <w:tcW w:w="4112" w:type="dxa"/>
          </w:tcPr>
          <w:p w14:paraId="183C7D97" w14:textId="74CCD02C" w:rsidR="005376B9" w:rsidRPr="005376B9" w:rsidRDefault="00B3000C" w:rsidP="00C17F85">
            <w:r w:rsidRPr="00B3000C">
              <w:t>Clinically sound and in line with appropriate National or local guidance?</w:t>
            </w:r>
          </w:p>
        </w:tc>
        <w:tc>
          <w:tcPr>
            <w:tcW w:w="5193" w:type="dxa"/>
            <w:shd w:val="clear" w:color="auto" w:fill="92D050"/>
          </w:tcPr>
          <w:p w14:paraId="36E6BC8A" w14:textId="71DC7C7A" w:rsidR="005376B9" w:rsidRPr="005376B9" w:rsidRDefault="00B3000C" w:rsidP="00C17F85">
            <w:r>
              <w:t>Yes</w:t>
            </w:r>
          </w:p>
        </w:tc>
      </w:tr>
      <w:tr w:rsidR="005376B9" w:rsidRPr="005376B9" w14:paraId="59216C53" w14:textId="4CDBD120" w:rsidTr="008513C9">
        <w:tc>
          <w:tcPr>
            <w:tcW w:w="4112" w:type="dxa"/>
          </w:tcPr>
          <w:p w14:paraId="2714843A" w14:textId="223135FC" w:rsidR="005376B9" w:rsidRPr="005376B9" w:rsidRDefault="00B3000C" w:rsidP="00C17F85">
            <w:r w:rsidRPr="00B3000C">
              <w:t>Enhance patient care?</w:t>
            </w:r>
          </w:p>
        </w:tc>
        <w:tc>
          <w:tcPr>
            <w:tcW w:w="5193" w:type="dxa"/>
            <w:shd w:val="clear" w:color="auto" w:fill="92D050"/>
          </w:tcPr>
          <w:p w14:paraId="27F28E0C" w14:textId="35359CD1" w:rsidR="005376B9" w:rsidRPr="005376B9" w:rsidRDefault="00B3000C" w:rsidP="00C17F85">
            <w:r>
              <w:t>Yes</w:t>
            </w:r>
          </w:p>
        </w:tc>
      </w:tr>
      <w:tr w:rsidR="005376B9" w:rsidRPr="005376B9" w14:paraId="7473A1EE" w14:textId="1F401889" w:rsidTr="008513C9">
        <w:tc>
          <w:tcPr>
            <w:tcW w:w="4112" w:type="dxa"/>
          </w:tcPr>
          <w:p w14:paraId="7245A263" w14:textId="70E2D9A7" w:rsidR="005376B9" w:rsidRPr="005376B9" w:rsidRDefault="00B3000C" w:rsidP="00C17F85">
            <w:r w:rsidRPr="00B3000C">
              <w:t>Have suitable monitoring arrangements?</w:t>
            </w:r>
          </w:p>
        </w:tc>
        <w:tc>
          <w:tcPr>
            <w:tcW w:w="5193" w:type="dxa"/>
            <w:shd w:val="clear" w:color="auto" w:fill="92D050"/>
          </w:tcPr>
          <w:p w14:paraId="78F9FFC1" w14:textId="10313FEE" w:rsidR="005376B9" w:rsidRPr="005376B9" w:rsidRDefault="00B3000C" w:rsidP="00C17F85">
            <w:r>
              <w:t>Yes</w:t>
            </w:r>
          </w:p>
        </w:tc>
      </w:tr>
      <w:tr w:rsidR="005376B9" w:rsidRPr="005376B9" w14:paraId="1C8EE65C" w14:textId="29D593F6" w:rsidTr="008513C9">
        <w:tc>
          <w:tcPr>
            <w:tcW w:w="4112" w:type="dxa"/>
          </w:tcPr>
          <w:p w14:paraId="13180BF1" w14:textId="7C9CA69F" w:rsidR="005376B9" w:rsidRPr="005376B9" w:rsidRDefault="00B3000C" w:rsidP="00C17F85">
            <w:r w:rsidRPr="00B3000C">
              <w:t>Enhance relationships with other HCPs?</w:t>
            </w:r>
          </w:p>
        </w:tc>
        <w:tc>
          <w:tcPr>
            <w:tcW w:w="5193" w:type="dxa"/>
            <w:shd w:val="clear" w:color="auto" w:fill="92D050"/>
          </w:tcPr>
          <w:p w14:paraId="4B5E9841" w14:textId="77777777" w:rsidR="005376B9" w:rsidRDefault="00B3000C" w:rsidP="00B3000C">
            <w:r>
              <w:t>Yes- improves relationships with specialist services and reduces workload on GP</w:t>
            </w:r>
            <w:r w:rsidR="008513C9">
              <w:t>s.</w:t>
            </w:r>
          </w:p>
          <w:p w14:paraId="019A2029" w14:textId="7D4B4337" w:rsidR="008513C9" w:rsidRPr="005376B9" w:rsidRDefault="008513C9" w:rsidP="00B3000C"/>
        </w:tc>
      </w:tr>
      <w:tr w:rsidR="005376B9" w:rsidRPr="005376B9" w14:paraId="67BB50C9" w14:textId="10D06591" w:rsidTr="008513C9">
        <w:tc>
          <w:tcPr>
            <w:tcW w:w="4112" w:type="dxa"/>
          </w:tcPr>
          <w:p w14:paraId="312807AD" w14:textId="264CC8EC" w:rsidR="005376B9" w:rsidRPr="005376B9" w:rsidRDefault="00BD07F1" w:rsidP="00C17F85">
            <w:r>
              <w:t>Deliverable?</w:t>
            </w:r>
          </w:p>
        </w:tc>
        <w:tc>
          <w:tcPr>
            <w:tcW w:w="5193" w:type="dxa"/>
            <w:shd w:val="clear" w:color="auto" w:fill="FFC000"/>
          </w:tcPr>
          <w:p w14:paraId="6488B5D4" w14:textId="0D03903F" w:rsidR="005376B9" w:rsidRDefault="00BD07F1" w:rsidP="00C17F85">
            <w:r>
              <w:t>Y</w:t>
            </w:r>
            <w:r w:rsidRPr="00BD07F1">
              <w:t xml:space="preserve">es- Chlamydia Treatment depends on referrals </w:t>
            </w:r>
            <w:r w:rsidR="00A4656E">
              <w:t xml:space="preserve">from </w:t>
            </w:r>
            <w:proofErr w:type="spellStart"/>
            <w:r w:rsidR="008513C9">
              <w:t>i</w:t>
            </w:r>
            <w:r w:rsidR="00A4656E">
              <w:t>Cash</w:t>
            </w:r>
            <w:proofErr w:type="spellEnd"/>
            <w:r w:rsidR="00A4656E">
              <w:t xml:space="preserve"> </w:t>
            </w:r>
            <w:r w:rsidRPr="00BD07F1">
              <w:t>and training requirements are significant</w:t>
            </w:r>
            <w:r w:rsidR="008513C9">
              <w:t>.</w:t>
            </w:r>
          </w:p>
          <w:p w14:paraId="25D526A6" w14:textId="3993574B" w:rsidR="008513C9" w:rsidRPr="005376B9" w:rsidRDefault="008513C9" w:rsidP="00C17F85"/>
        </w:tc>
      </w:tr>
      <w:tr w:rsidR="005376B9" w:rsidRPr="005376B9" w14:paraId="4A39A960" w14:textId="7D386B68" w:rsidTr="008513C9">
        <w:tc>
          <w:tcPr>
            <w:tcW w:w="4112" w:type="dxa"/>
          </w:tcPr>
          <w:p w14:paraId="1817202A" w14:textId="6ABE2FF6" w:rsidR="005376B9" w:rsidRPr="005376B9" w:rsidRDefault="00BD07F1" w:rsidP="00C17F85">
            <w:r w:rsidRPr="00BD07F1">
              <w:lastRenderedPageBreak/>
              <w:t>Attractive enough for contractors to consider it worthwhile?</w:t>
            </w:r>
          </w:p>
        </w:tc>
        <w:tc>
          <w:tcPr>
            <w:tcW w:w="5193" w:type="dxa"/>
            <w:shd w:val="clear" w:color="auto" w:fill="92D050"/>
          </w:tcPr>
          <w:p w14:paraId="74421A30" w14:textId="77777777" w:rsidR="005376B9" w:rsidRDefault="00BD07F1" w:rsidP="00C17F85">
            <w:r w:rsidRPr="00BD07F1">
              <w:t>Yes- depending on geographically area and customer demographic. Chlamydia Treatment service is via referral only and so the footfall for this service will be low.</w:t>
            </w:r>
          </w:p>
          <w:p w14:paraId="787D66B5" w14:textId="43E64717" w:rsidR="008513C9" w:rsidRPr="005376B9" w:rsidRDefault="008513C9" w:rsidP="00C17F85"/>
        </w:tc>
      </w:tr>
      <w:tr w:rsidR="005376B9" w:rsidRPr="005376B9" w14:paraId="6FA95BD9" w14:textId="53DEE6BC" w:rsidTr="008513C9">
        <w:tc>
          <w:tcPr>
            <w:tcW w:w="4112" w:type="dxa"/>
          </w:tcPr>
          <w:p w14:paraId="61C22243" w14:textId="77777777" w:rsidR="005376B9" w:rsidRPr="005376B9" w:rsidRDefault="005376B9" w:rsidP="00C17F85">
            <w:r w:rsidRPr="005376B9">
              <w:t xml:space="preserve">Have performance criteria that supports a quality service? 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shd w:val="clear" w:color="auto" w:fill="92D050"/>
          </w:tcPr>
          <w:p w14:paraId="29469FD4" w14:textId="1A3F303C" w:rsidR="005376B9" w:rsidRPr="005376B9" w:rsidRDefault="0075796F" w:rsidP="00C17F85">
            <w:r w:rsidRPr="0075796F">
              <w:t>Yes</w:t>
            </w:r>
          </w:p>
        </w:tc>
      </w:tr>
      <w:tr w:rsidR="005376B9" w:rsidRPr="005376B9" w14:paraId="2B9E8E28" w14:textId="07A357EB" w:rsidTr="008513C9">
        <w:tc>
          <w:tcPr>
            <w:tcW w:w="4112" w:type="dxa"/>
            <w:tcBorders>
              <w:right w:val="nil"/>
            </w:tcBorders>
          </w:tcPr>
          <w:p w14:paraId="3F0B3289" w14:textId="77777777" w:rsidR="005376B9" w:rsidRPr="0075796F" w:rsidRDefault="005376B9" w:rsidP="00C17F85">
            <w:pPr>
              <w:rPr>
                <w:b/>
                <w:bCs/>
              </w:rPr>
            </w:pPr>
            <w:r w:rsidRPr="0075796F">
              <w:rPr>
                <w:b/>
                <w:bCs/>
              </w:rPr>
              <w:t xml:space="preserve">Miscellaneous Information </w:t>
            </w:r>
          </w:p>
        </w:tc>
        <w:tc>
          <w:tcPr>
            <w:tcW w:w="5193" w:type="dxa"/>
            <w:tcBorders>
              <w:left w:val="nil"/>
            </w:tcBorders>
          </w:tcPr>
          <w:p w14:paraId="207091D6" w14:textId="77777777" w:rsidR="005376B9" w:rsidRPr="005376B9" w:rsidRDefault="005376B9" w:rsidP="00C17F85"/>
        </w:tc>
      </w:tr>
      <w:tr w:rsidR="005376B9" w:rsidRPr="005376B9" w14:paraId="7D2066A3" w14:textId="199792D0" w:rsidTr="008513C9">
        <w:tc>
          <w:tcPr>
            <w:tcW w:w="4112" w:type="dxa"/>
          </w:tcPr>
          <w:p w14:paraId="7CC06CF1" w14:textId="77777777" w:rsidR="005376B9" w:rsidRPr="005376B9" w:rsidRDefault="005376B9" w:rsidP="00C17F85">
            <w:r w:rsidRPr="005376B9">
              <w:t xml:space="preserve">Any other information specific to this service. </w:t>
            </w:r>
          </w:p>
        </w:tc>
        <w:tc>
          <w:tcPr>
            <w:tcW w:w="5193" w:type="dxa"/>
            <w:shd w:val="clear" w:color="auto" w:fill="FA26C8"/>
          </w:tcPr>
          <w:p w14:paraId="368CD736" w14:textId="77777777" w:rsidR="005376B9" w:rsidRDefault="008513C9" w:rsidP="00C17F85">
            <w:r>
              <w:t>S</w:t>
            </w:r>
            <w:r w:rsidR="0075796F" w:rsidRPr="0075796F">
              <w:t>ervice spec allows pharmacies to pick and choose which service or combination of services they offer so delivery of services can be tailored to the needs of the local population.</w:t>
            </w:r>
          </w:p>
          <w:p w14:paraId="66E807C2" w14:textId="37BF076E" w:rsidR="008513C9" w:rsidRPr="005376B9" w:rsidRDefault="008513C9" w:rsidP="00C17F85"/>
        </w:tc>
      </w:tr>
      <w:tr w:rsidR="005376B9" w:rsidRPr="005376B9" w14:paraId="621DA9D3" w14:textId="5A3B0C01" w:rsidTr="008513C9">
        <w:trPr>
          <w:trHeight w:val="43"/>
        </w:trPr>
        <w:tc>
          <w:tcPr>
            <w:tcW w:w="4112" w:type="dxa"/>
          </w:tcPr>
          <w:p w14:paraId="66261719" w14:textId="77777777" w:rsidR="005376B9" w:rsidRDefault="005376B9" w:rsidP="00C17F85">
            <w:pPr>
              <w:rPr>
                <w:b/>
                <w:bCs/>
              </w:rPr>
            </w:pPr>
            <w:r w:rsidRPr="0075796F">
              <w:rPr>
                <w:b/>
                <w:bCs/>
              </w:rPr>
              <w:t>Suggested RAG Rating</w:t>
            </w:r>
          </w:p>
          <w:p w14:paraId="398FF102" w14:textId="00876B25" w:rsidR="008513C9" w:rsidRPr="0075796F" w:rsidRDefault="008513C9" w:rsidP="00C17F85">
            <w:pPr>
              <w:rPr>
                <w:b/>
                <w:bCs/>
              </w:rPr>
            </w:pPr>
          </w:p>
        </w:tc>
        <w:tc>
          <w:tcPr>
            <w:tcW w:w="5193" w:type="dxa"/>
            <w:shd w:val="clear" w:color="auto" w:fill="92D050"/>
          </w:tcPr>
          <w:p w14:paraId="26486306" w14:textId="77777777" w:rsidR="005376B9" w:rsidRPr="005376B9" w:rsidRDefault="005376B9" w:rsidP="00C17F85"/>
        </w:tc>
      </w:tr>
    </w:tbl>
    <w:p w14:paraId="01A4E418" w14:textId="77777777" w:rsidR="005248EE" w:rsidRDefault="005248EE" w:rsidP="005376B9"/>
    <w:sectPr w:rsidR="00524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EE"/>
    <w:rsid w:val="0002648C"/>
    <w:rsid w:val="002D5896"/>
    <w:rsid w:val="004D7BFF"/>
    <w:rsid w:val="005248EE"/>
    <w:rsid w:val="005376B9"/>
    <w:rsid w:val="00696432"/>
    <w:rsid w:val="0075796F"/>
    <w:rsid w:val="007838BF"/>
    <w:rsid w:val="008513C9"/>
    <w:rsid w:val="00A4656E"/>
    <w:rsid w:val="00B3000C"/>
    <w:rsid w:val="00BD07F1"/>
    <w:rsid w:val="00BD782E"/>
    <w:rsid w:val="00C95409"/>
    <w:rsid w:val="00F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8E5"/>
  <w15:chartTrackingRefBased/>
  <w15:docId w15:val="{49632FF2-1664-45E6-978D-0DF3F6DA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6B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954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ra@suffolkl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Battle</dc:creator>
  <cp:keywords/>
  <dc:description/>
  <cp:lastModifiedBy>Myra Battle</cp:lastModifiedBy>
  <cp:revision>2</cp:revision>
  <dcterms:created xsi:type="dcterms:W3CDTF">2023-02-23T10:09:00Z</dcterms:created>
  <dcterms:modified xsi:type="dcterms:W3CDTF">2023-02-23T10:09:00Z</dcterms:modified>
</cp:coreProperties>
</file>