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1" w:rsidRPr="0062745F" w:rsidRDefault="005774A1" w:rsidP="005774A1">
      <w:pPr>
        <w:jc w:val="center"/>
        <w:rPr>
          <w:rFonts w:ascii="Calibri" w:hAnsi="Calibri" w:cs="Calibri"/>
        </w:rPr>
      </w:pPr>
      <w:bookmarkStart w:id="0" w:name="_GoBack"/>
      <w:bookmarkEnd w:id="0"/>
      <w:r w:rsidRPr="0062745F">
        <w:rPr>
          <w:rFonts w:ascii="Calibri" w:hAnsi="Calibri" w:cs="Calibri"/>
          <w:b/>
          <w:i/>
          <w:sz w:val="28"/>
          <w:szCs w:val="28"/>
        </w:rPr>
        <w:t xml:space="preserve">Appendix </w:t>
      </w:r>
      <w:r w:rsidR="00E76E51">
        <w:rPr>
          <w:rFonts w:ascii="Calibri" w:hAnsi="Calibri" w:cs="Calibri"/>
          <w:b/>
          <w:i/>
          <w:sz w:val="28"/>
          <w:szCs w:val="28"/>
        </w:rPr>
        <w:t>2</w:t>
      </w:r>
      <w:r>
        <w:rPr>
          <w:rFonts w:ascii="Calibri" w:hAnsi="Calibri" w:cs="Calibri"/>
          <w:b/>
          <w:i/>
          <w:sz w:val="28"/>
          <w:szCs w:val="28"/>
        </w:rPr>
        <w:t xml:space="preserve">: </w:t>
      </w:r>
      <w:r w:rsidRPr="0062745F">
        <w:rPr>
          <w:rFonts w:ascii="Calibri" w:hAnsi="Calibri" w:cs="Calibri"/>
          <w:b/>
          <w:bCs/>
          <w:noProof/>
          <w:sz w:val="28"/>
          <w:szCs w:val="28"/>
          <w:lang w:eastAsia="en-GB"/>
        </w:rPr>
        <w:t>Handing out Equipment Checklist &amp; Contact Numbers</w:t>
      </w:r>
    </w:p>
    <w:p w:rsidR="005774A1" w:rsidRPr="0062745F" w:rsidRDefault="005774A1" w:rsidP="005774A1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2745F">
        <w:rPr>
          <w:rFonts w:ascii="Calibri" w:hAnsi="Calibri" w:cs="Calibri"/>
          <w:b/>
          <w:bCs/>
          <w:noProof/>
          <w:sz w:val="28"/>
          <w:szCs w:val="28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213"/>
        <w:gridCol w:w="1364"/>
      </w:tblGrid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F26F4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F26F4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YES/NO</w:t>
            </w: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87454" w:rsidP="005874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 least one full-time pharmacist (or 2 or more pharmacist that cover a minimum of 80% of the pharmacy opening hours)</w:t>
            </w:r>
            <w:r w:rsidR="005774A1" w:rsidRPr="006274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Declaration of Competence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and e-learning CPPE Substance Misuse package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F26F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Issue a range of free sterile needles &amp; syringes and additional paraphernalia including supply of personal sharps bin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F26F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Encourage safe disposal of injecting equipment 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F26F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Distribution of other appropriate harm reduction injecting paraphernalia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Consistent effort to maximise return of used injecting equipment proactively on a regular basis. A failure to return used equipment should never result in denial of further supply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CB1F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pharmacy contractor should ensure that their </w:t>
            </w:r>
            <w:r w:rsidR="00774F14">
              <w:rPr>
                <w:rFonts w:ascii="Calibri" w:hAnsi="Calibri" w:cs="Calibri"/>
                <w:color w:val="000000"/>
                <w:sz w:val="22"/>
                <w:szCs w:val="22"/>
              </w:rPr>
              <w:t>employees</w:t>
            </w: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 made aware of the risk associated with the handling of returned used equipment and the correct procedure</w:t>
            </w:r>
            <w:r w:rsidR="005874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used to minimise those risks 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F26F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A needle stick injury procedure should be in place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CB1F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The pharmacy should maintain appropriate records to ensure effective on going service delivery and audit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CB1F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The pharmacy will allocate a safe place to store equipment and returns for safe onward disposal. The storage containers provided by commissioned clinical waste disposal service will be used to store returned used equipment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F26F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Appropriate protective equipment, including gloves, overalls and materials to deal with spillages, should be readily available close to the storage site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CB1F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The frequency of waste collection should be agreed to ensure there is not an unacceptable build-up of clinical waste on the pharmacy premises.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74A1" w:rsidRPr="0062745F" w:rsidTr="00F26F41">
        <w:tc>
          <w:tcPr>
            <w:tcW w:w="675" w:type="dxa"/>
            <w:shd w:val="clear" w:color="auto" w:fill="auto"/>
          </w:tcPr>
          <w:p w:rsidR="005774A1" w:rsidRPr="0062745F" w:rsidRDefault="005774A1" w:rsidP="005774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:rsidR="005774A1" w:rsidRPr="0062745F" w:rsidRDefault="005774A1" w:rsidP="00CB1F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45F">
              <w:rPr>
                <w:rFonts w:ascii="Calibri" w:hAnsi="Calibri" w:cs="Calibri"/>
                <w:color w:val="000000"/>
                <w:sz w:val="22"/>
                <w:szCs w:val="22"/>
              </w:rPr>
              <w:t>The pharmacy should clearly display the national scheme logo or a local logo indicating participation in the service</w:t>
            </w:r>
          </w:p>
        </w:tc>
        <w:tc>
          <w:tcPr>
            <w:tcW w:w="1374" w:type="dxa"/>
            <w:shd w:val="clear" w:color="auto" w:fill="auto"/>
          </w:tcPr>
          <w:p w:rsidR="005774A1" w:rsidRPr="0062745F" w:rsidRDefault="005774A1" w:rsidP="00F26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774A1" w:rsidRPr="0062745F" w:rsidRDefault="005774A1" w:rsidP="005774A1">
      <w:pPr>
        <w:suppressAutoHyphens/>
        <w:jc w:val="center"/>
        <w:rPr>
          <w:rFonts w:ascii="Calibri" w:hAnsi="Calibri" w:cs="Calibri"/>
          <w:sz w:val="22"/>
          <w:szCs w:val="22"/>
        </w:rPr>
      </w:pPr>
    </w:p>
    <w:p w:rsidR="005774A1" w:rsidRDefault="005774A1" w:rsidP="005774A1">
      <w:pPr>
        <w:suppressAutoHyphens/>
        <w:jc w:val="center"/>
        <w:rPr>
          <w:rFonts w:ascii="Calibri" w:hAnsi="Calibri" w:cs="Calibri"/>
          <w:sz w:val="22"/>
          <w:szCs w:val="22"/>
        </w:rPr>
      </w:pPr>
    </w:p>
    <w:p w:rsidR="00587454" w:rsidRPr="00587454" w:rsidRDefault="00587454" w:rsidP="005774A1">
      <w:pPr>
        <w:suppressAutoHyphens/>
        <w:jc w:val="center"/>
        <w:rPr>
          <w:rFonts w:ascii="Calibri" w:hAnsi="Calibri" w:cs="Calibri"/>
        </w:rPr>
      </w:pPr>
    </w:p>
    <w:p w:rsidR="005774A1" w:rsidRPr="00587454" w:rsidRDefault="00587454" w:rsidP="00587454">
      <w:pPr>
        <w:autoSpaceDE w:val="0"/>
        <w:autoSpaceDN w:val="0"/>
        <w:adjustRightInd w:val="0"/>
        <w:ind w:left="-142"/>
        <w:rPr>
          <w:rFonts w:ascii="Calibri" w:hAnsi="Calibri" w:cs="Calibri"/>
          <w:b/>
          <w:bCs/>
          <w:color w:val="000000"/>
        </w:rPr>
      </w:pPr>
      <w:r w:rsidRPr="00587454">
        <w:rPr>
          <w:rFonts w:ascii="Calibri" w:hAnsi="Calibri" w:cs="Calibri"/>
          <w:b/>
          <w:bCs/>
          <w:color w:val="000000"/>
        </w:rPr>
        <w:t>Local and national contacts (please insert):</w:t>
      </w:r>
    </w:p>
    <w:p w:rsidR="00587454" w:rsidRDefault="00587454" w:rsidP="00587454">
      <w:pPr>
        <w:autoSpaceDE w:val="0"/>
        <w:autoSpaceDN w:val="0"/>
        <w:adjustRightInd w:val="0"/>
        <w:ind w:left="-142"/>
        <w:rPr>
          <w:rFonts w:ascii="Calibri" w:hAnsi="Calibri" w:cs="Calibri"/>
          <w:b/>
          <w:bCs/>
          <w:color w:val="000000"/>
          <w:sz w:val="20"/>
        </w:rPr>
      </w:pPr>
    </w:p>
    <w:p w:rsidR="00587454" w:rsidRPr="00764FE8" w:rsidRDefault="00764FE8" w:rsidP="005874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764FE8">
        <w:rPr>
          <w:rFonts w:ascii="Calibri" w:hAnsi="Calibri" w:cs="Calibri"/>
          <w:b/>
          <w:bCs/>
          <w:color w:val="000000"/>
        </w:rPr>
        <w:t>Andrea Mulligan (Frontier Medical Group</w:t>
      </w:r>
      <w:r>
        <w:rPr>
          <w:rFonts w:ascii="Calibri" w:hAnsi="Calibri" w:cs="Calibri"/>
          <w:b/>
          <w:bCs/>
          <w:color w:val="000000"/>
        </w:rPr>
        <w:t xml:space="preserve">): 01495 235800 / </w:t>
      </w:r>
      <w:hyperlink r:id="rId9" w:history="1">
        <w:r w:rsidRPr="007F7471">
          <w:rPr>
            <w:rStyle w:val="Hyperlink"/>
            <w:rFonts w:ascii="Calibri" w:hAnsi="Calibri" w:cs="Calibri"/>
            <w:b/>
            <w:bCs/>
          </w:rPr>
          <w:t>amulligan@frontier-group.co.uk</w:t>
        </w:r>
      </w:hyperlink>
      <w:r>
        <w:rPr>
          <w:rFonts w:ascii="Calibri" w:hAnsi="Calibri" w:cs="Calibri"/>
          <w:b/>
          <w:bCs/>
          <w:color w:val="000000"/>
        </w:rPr>
        <w:t xml:space="preserve"> </w:t>
      </w:r>
    </w:p>
    <w:p w:rsidR="00587454" w:rsidRDefault="00587454" w:rsidP="00587454">
      <w:pPr>
        <w:pStyle w:val="ListParagraph"/>
        <w:autoSpaceDE w:val="0"/>
        <w:autoSpaceDN w:val="0"/>
        <w:adjustRightInd w:val="0"/>
        <w:ind w:left="578"/>
        <w:rPr>
          <w:rFonts w:ascii="Calibri" w:hAnsi="Calibri" w:cs="Calibri"/>
          <w:b/>
          <w:bCs/>
          <w:color w:val="000000"/>
          <w:sz w:val="20"/>
        </w:rPr>
      </w:pPr>
    </w:p>
    <w:p w:rsidR="00587454" w:rsidRPr="00764FE8" w:rsidRDefault="00587454" w:rsidP="00764FE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="0078145A" w:rsidRPr="0078145A">
        <w:rPr>
          <w:rFonts w:ascii="Calibri" w:hAnsi="Calibri" w:cs="Calibri"/>
          <w:b/>
          <w:bCs/>
          <w:color w:val="000000"/>
          <w:highlight w:val="yellow"/>
        </w:rPr>
        <w:t>PharmOutcomes ……….(TBC)</w:t>
      </w:r>
      <w:r w:rsidR="00764FE8" w:rsidRPr="00764FE8">
        <w:rPr>
          <w:rFonts w:ascii="Calibri" w:hAnsi="Calibri" w:cs="Calibri"/>
          <w:b/>
          <w:bCs/>
          <w:color w:val="000000"/>
        </w:rPr>
        <w:t xml:space="preserve"> </w:t>
      </w:r>
    </w:p>
    <w:p w:rsidR="00587454" w:rsidRDefault="00587454" w:rsidP="00587454">
      <w:pPr>
        <w:pStyle w:val="ListParagraph"/>
        <w:autoSpaceDE w:val="0"/>
        <w:autoSpaceDN w:val="0"/>
        <w:adjustRightInd w:val="0"/>
        <w:ind w:left="578"/>
        <w:rPr>
          <w:rFonts w:ascii="Calibri" w:hAnsi="Calibri" w:cs="Calibri"/>
          <w:b/>
          <w:bCs/>
          <w:color w:val="000000"/>
          <w:sz w:val="20"/>
        </w:rPr>
      </w:pPr>
    </w:p>
    <w:p w:rsidR="00587454" w:rsidRDefault="00587454" w:rsidP="005874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:rsidR="00587454" w:rsidRDefault="00587454" w:rsidP="00587454">
      <w:pPr>
        <w:pStyle w:val="ListParagraph"/>
        <w:autoSpaceDE w:val="0"/>
        <w:autoSpaceDN w:val="0"/>
        <w:adjustRightInd w:val="0"/>
        <w:ind w:left="578"/>
        <w:rPr>
          <w:rFonts w:ascii="Calibri" w:hAnsi="Calibri" w:cs="Calibri"/>
          <w:b/>
          <w:bCs/>
          <w:color w:val="000000"/>
          <w:sz w:val="20"/>
        </w:rPr>
      </w:pPr>
    </w:p>
    <w:p w:rsidR="00587454" w:rsidRDefault="00587454" w:rsidP="005874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:rsidR="00587454" w:rsidRDefault="00587454" w:rsidP="00587454">
      <w:pPr>
        <w:pStyle w:val="ListParagraph"/>
        <w:autoSpaceDE w:val="0"/>
        <w:autoSpaceDN w:val="0"/>
        <w:adjustRightInd w:val="0"/>
        <w:ind w:left="578"/>
        <w:rPr>
          <w:rFonts w:ascii="Calibri" w:hAnsi="Calibri" w:cs="Calibri"/>
          <w:b/>
          <w:bCs/>
          <w:color w:val="000000"/>
          <w:sz w:val="20"/>
        </w:rPr>
      </w:pPr>
    </w:p>
    <w:p w:rsidR="00587454" w:rsidRDefault="00587454" w:rsidP="005874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:rsidR="00587454" w:rsidRPr="00587454" w:rsidRDefault="00587454" w:rsidP="0058745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 w:rsidRPr="00587454"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:rsidR="00587454" w:rsidRDefault="00587454" w:rsidP="005874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 </w:t>
      </w:r>
    </w:p>
    <w:p w:rsidR="00587454" w:rsidRDefault="00587454" w:rsidP="00587454">
      <w:pPr>
        <w:pStyle w:val="ListParagraph"/>
        <w:autoSpaceDE w:val="0"/>
        <w:autoSpaceDN w:val="0"/>
        <w:adjustRightInd w:val="0"/>
        <w:ind w:left="578"/>
        <w:rPr>
          <w:rFonts w:ascii="Calibri" w:hAnsi="Calibri" w:cs="Calibri"/>
          <w:b/>
          <w:bCs/>
          <w:color w:val="000000"/>
          <w:sz w:val="20"/>
        </w:rPr>
      </w:pPr>
    </w:p>
    <w:p w:rsidR="00587454" w:rsidRPr="00587454" w:rsidRDefault="00587454" w:rsidP="005874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:rsidR="007D7801" w:rsidRDefault="007D7801"/>
    <w:sectPr w:rsidR="007D7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D7D73" w15:done="0"/>
  <w15:commentEx w15:paraId="1D62649E" w15:done="0"/>
  <w15:commentEx w15:paraId="62BAD1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D7D73" w16cid:durableId="1E1198D1"/>
  <w16cid:commentId w16cid:paraId="1D62649E" w16cid:durableId="1E1198DD"/>
  <w16cid:commentId w16cid:paraId="62BAD1F2" w16cid:durableId="1E1199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D" w:rsidRDefault="00E004AD" w:rsidP="005774A1">
      <w:r>
        <w:separator/>
      </w:r>
    </w:p>
  </w:endnote>
  <w:endnote w:type="continuationSeparator" w:id="0">
    <w:p w:rsidR="00E004AD" w:rsidRDefault="00E004AD" w:rsidP="005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C" w:rsidRDefault="00E9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C" w:rsidRDefault="00E96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C" w:rsidRDefault="00E9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D" w:rsidRDefault="00E004AD" w:rsidP="005774A1">
      <w:r>
        <w:separator/>
      </w:r>
    </w:p>
  </w:footnote>
  <w:footnote w:type="continuationSeparator" w:id="0">
    <w:p w:rsidR="00E004AD" w:rsidRDefault="00E004AD" w:rsidP="0057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C" w:rsidRDefault="00E9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A1" w:rsidRDefault="00E004AD" w:rsidP="005774A1">
    <w:pPr>
      <w:pStyle w:val="Header"/>
      <w:jc w:val="right"/>
    </w:pPr>
    <w:sdt>
      <w:sdtPr>
        <w:id w:val="109668239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155DEC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74A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8DB1C31" wp14:editId="38D56E0D">
          <wp:simplePos x="0" y="0"/>
          <wp:positionH relativeFrom="column">
            <wp:posOffset>4969377</wp:posOffset>
          </wp:positionH>
          <wp:positionV relativeFrom="paragraph">
            <wp:posOffset>-335915</wp:posOffset>
          </wp:positionV>
          <wp:extent cx="1268730" cy="6388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7C" w:rsidRDefault="00E96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F4A"/>
    <w:multiLevelType w:val="hybridMultilevel"/>
    <w:tmpl w:val="3318A11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B4235B4"/>
    <w:multiLevelType w:val="hybridMultilevel"/>
    <w:tmpl w:val="139E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pesh Raghwani">
    <w15:presenceInfo w15:providerId="None" w15:userId="Dipesh Raghw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1"/>
    <w:rsid w:val="00052F75"/>
    <w:rsid w:val="001F77BC"/>
    <w:rsid w:val="00225522"/>
    <w:rsid w:val="003C6FAD"/>
    <w:rsid w:val="003E07C9"/>
    <w:rsid w:val="004B0894"/>
    <w:rsid w:val="004B5998"/>
    <w:rsid w:val="004C6B64"/>
    <w:rsid w:val="00551ABF"/>
    <w:rsid w:val="005666BA"/>
    <w:rsid w:val="005774A1"/>
    <w:rsid w:val="00582416"/>
    <w:rsid w:val="00587454"/>
    <w:rsid w:val="00615132"/>
    <w:rsid w:val="006424D6"/>
    <w:rsid w:val="00764FE8"/>
    <w:rsid w:val="00774E28"/>
    <w:rsid w:val="00774F14"/>
    <w:rsid w:val="0078145A"/>
    <w:rsid w:val="007C45E9"/>
    <w:rsid w:val="007D7801"/>
    <w:rsid w:val="0095317F"/>
    <w:rsid w:val="00A722B1"/>
    <w:rsid w:val="00A9338D"/>
    <w:rsid w:val="00AE0CEF"/>
    <w:rsid w:val="00C162FF"/>
    <w:rsid w:val="00CB1FC9"/>
    <w:rsid w:val="00CC27C5"/>
    <w:rsid w:val="00CE7FBE"/>
    <w:rsid w:val="00D64385"/>
    <w:rsid w:val="00E004AD"/>
    <w:rsid w:val="00E52D82"/>
    <w:rsid w:val="00E76E51"/>
    <w:rsid w:val="00E96D7C"/>
    <w:rsid w:val="00F12B17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A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A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2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2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A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A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2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2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amulligan@frontier-group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E88-216F-44FD-AC45-B64B9B6D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Parsons</dc:creator>
  <cp:lastModifiedBy>Katherine Watkinson</cp:lastModifiedBy>
  <cp:revision>2</cp:revision>
  <dcterms:created xsi:type="dcterms:W3CDTF">2019-03-18T13:47:00Z</dcterms:created>
  <dcterms:modified xsi:type="dcterms:W3CDTF">2019-03-18T13:47:00Z</dcterms:modified>
</cp:coreProperties>
</file>